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1d2129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1"/>
          <w:szCs w:val="21"/>
          <w:highlight w:val="white"/>
          <w:u w:val="single"/>
          <w:rtl w:val="0"/>
        </w:rPr>
        <w:t xml:space="preserve">Colleges that are Need Blind and Meet Full Need (for Domestic Students)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1d2129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Amherst College (MA)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Barnard College (NY)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Boston College (MA)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Bowdoin College (ME)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Brown University (RI)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California Institute of Technology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U of Chicago (IL)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Claremont McKenna College (CA)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Columbia University (NY)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Cooper Union (NY)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Cornell University (NY)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Dartmouth College (NH)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Davidson College (NC)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Duke University (NC)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Georgetown University (DC)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Grinnell College (IA)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Hamilton College (NY)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Harvard University (MA)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Harvey Mudd College (CA)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Johns Hopkins University (MD)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Lehigh University (PA)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Massachusetts Institute of Technology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Middlebury College (VT)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U of North Carolina/Chapel Hill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Northwestern University (IL)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U of Notre Dame (IN)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Olin College (MA)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U of Pennsylvania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Pomona College (CA)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Princeton University (NJ)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Rice University (TX)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University of Richmond (VA)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University of Rochester (NY)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Soka University of America (CA)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U of Southern California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Stanford University (CA)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Swarthmore College (PA)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Thomas Aquinas College (CA)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Vanderbilt University (TN)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Vassar College (NY)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University of Virginia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Wellesley College (MA)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Williams College (MA)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  <w:rtl w:val="0"/>
        </w:rPr>
        <w:t xml:space="preserve">Yale University (CT)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*Given the changing landscape of college admissions, this list may not be comprehensive and may change yearly based on each individual’s schools policies.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